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748F" w14:textId="77777777" w:rsidR="00C21800" w:rsidRPr="000C310D" w:rsidRDefault="00C21800" w:rsidP="00C21800">
      <w:pPr>
        <w:bidi/>
        <w:spacing w:after="0" w:line="240" w:lineRule="auto"/>
        <w:jc w:val="center"/>
        <w:rPr>
          <w:rFonts w:ascii="David" w:eastAsia="Times New Roman" w:hAnsi="David" w:cs="David"/>
          <w:b/>
          <w:bCs/>
          <w:color w:val="000000"/>
          <w:sz w:val="24"/>
          <w:szCs w:val="24"/>
          <w:u w:val="single"/>
          <w:rtl/>
          <w:lang w:val="en-US"/>
        </w:rPr>
      </w:pPr>
      <w:r w:rsidRPr="000C310D">
        <w:rPr>
          <w:rFonts w:ascii="David" w:eastAsia="Times New Roman" w:hAnsi="David" w:cs="David"/>
          <w:b/>
          <w:bCs/>
          <w:color w:val="000000"/>
          <w:sz w:val="24"/>
          <w:szCs w:val="24"/>
          <w:u w:val="single"/>
          <w:rtl/>
          <w:lang w:val="en-US"/>
        </w:rPr>
        <w:t>פרק ט' - כיסוי ראש</w:t>
      </w:r>
    </w:p>
    <w:p w14:paraId="4C974C18" w14:textId="77777777" w:rsidR="00C21800" w:rsidRPr="000C310D" w:rsidRDefault="00C21800" w:rsidP="00C21800">
      <w:pPr>
        <w:bidi/>
        <w:spacing w:after="0" w:line="240" w:lineRule="auto"/>
        <w:jc w:val="both"/>
        <w:rPr>
          <w:rFonts w:ascii="David" w:eastAsia="Times New Roman" w:hAnsi="David" w:cs="David"/>
          <w:b/>
          <w:bCs/>
          <w:sz w:val="24"/>
          <w:szCs w:val="24"/>
          <w:rtl/>
          <w:lang w:val="en-US"/>
        </w:rPr>
      </w:pPr>
      <w:r w:rsidRPr="000C310D">
        <w:rPr>
          <w:rFonts w:ascii="David" w:eastAsia="Times New Roman" w:hAnsi="David" w:cs="David"/>
          <w:b/>
          <w:bCs/>
          <w:sz w:val="24"/>
          <w:szCs w:val="24"/>
          <w:u w:val="single"/>
          <w:rtl/>
          <w:lang w:val="en-US"/>
        </w:rPr>
        <w:t>הקדמה</w:t>
      </w:r>
      <w:r w:rsidRPr="000C310D">
        <w:rPr>
          <w:rFonts w:ascii="David" w:eastAsia="Times New Roman" w:hAnsi="David" w:cs="David"/>
          <w:b/>
          <w:bCs/>
          <w:sz w:val="24"/>
          <w:szCs w:val="24"/>
          <w:rtl/>
          <w:lang w:val="en-US"/>
        </w:rPr>
        <w:t>:</w:t>
      </w:r>
    </w:p>
    <w:p w14:paraId="634F0CC2"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בפרק זה ישנה סקירה של השתלשלות ההלכה בדין כיסוי ראש לאישה נשואה וכן טעמים רעיוניים לדין זה.</w:t>
      </w:r>
    </w:p>
    <w:p w14:paraId="6AA958B9" w14:textId="77777777" w:rsidR="00C21800" w:rsidRPr="000C310D" w:rsidRDefault="00C21800" w:rsidP="00C21800">
      <w:pPr>
        <w:bidi/>
        <w:spacing w:after="0" w:line="240" w:lineRule="auto"/>
        <w:jc w:val="both"/>
        <w:rPr>
          <w:rFonts w:ascii="David" w:eastAsia="Times New Roman" w:hAnsi="David" w:cs="David"/>
          <w:sz w:val="24"/>
          <w:szCs w:val="24"/>
          <w:rtl/>
          <w:lang w:val="en-US"/>
        </w:rPr>
      </w:pPr>
    </w:p>
    <w:p w14:paraId="7DBDA0C6" w14:textId="77777777" w:rsidR="00C21800" w:rsidRPr="000C310D" w:rsidRDefault="00C21800" w:rsidP="00C21800">
      <w:pPr>
        <w:bidi/>
        <w:spacing w:after="0" w:line="240" w:lineRule="auto"/>
        <w:jc w:val="both"/>
        <w:rPr>
          <w:rFonts w:ascii="David" w:eastAsia="Times New Roman" w:hAnsi="David" w:cs="David"/>
          <w:b/>
          <w:bCs/>
          <w:sz w:val="24"/>
          <w:szCs w:val="24"/>
          <w:u w:val="single"/>
          <w:rtl/>
          <w:lang w:val="en-US"/>
        </w:rPr>
      </w:pPr>
      <w:proofErr w:type="spellStart"/>
      <w:r>
        <w:rPr>
          <w:rFonts w:ascii="David" w:eastAsia="Times New Roman" w:hAnsi="David" w:cs="David" w:hint="cs"/>
          <w:b/>
          <w:bCs/>
          <w:sz w:val="24"/>
          <w:szCs w:val="24"/>
          <w:u w:val="single"/>
          <w:rtl/>
          <w:lang w:val="en-US"/>
        </w:rPr>
        <w:t>א.</w:t>
      </w:r>
      <w:r w:rsidRPr="000C310D">
        <w:rPr>
          <w:rFonts w:ascii="David" w:eastAsia="Times New Roman" w:hAnsi="David" w:cs="David"/>
          <w:b/>
          <w:bCs/>
          <w:sz w:val="24"/>
          <w:szCs w:val="24"/>
          <w:u w:val="single"/>
          <w:rtl/>
          <w:lang w:val="en-US"/>
        </w:rPr>
        <w:t>דת</w:t>
      </w:r>
      <w:proofErr w:type="spellEnd"/>
      <w:r w:rsidRPr="000C310D">
        <w:rPr>
          <w:rFonts w:ascii="David" w:eastAsia="Times New Roman" w:hAnsi="David" w:cs="David"/>
          <w:b/>
          <w:bCs/>
          <w:sz w:val="24"/>
          <w:szCs w:val="24"/>
          <w:u w:val="single"/>
          <w:rtl/>
          <w:lang w:val="en-US"/>
        </w:rPr>
        <w:t xml:space="preserve"> משה ודת יהודית</w:t>
      </w:r>
    </w:p>
    <w:p w14:paraId="6ECDB786"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החובה ההלכתית לכיסוי הראש בנויה משני נדבכים: דת משה (חיוב  מן התורה) ודת יהודית (חיוב מחכמים) . </w:t>
      </w:r>
    </w:p>
    <w:p w14:paraId="65068996" w14:textId="77777777" w:rsidR="00C21800" w:rsidRPr="000C310D" w:rsidRDefault="00C21800" w:rsidP="00C21800">
      <w:pPr>
        <w:bidi/>
        <w:spacing w:after="0" w:line="240" w:lineRule="auto"/>
        <w:jc w:val="both"/>
        <w:rPr>
          <w:rFonts w:ascii="David" w:eastAsia="Times New Roman" w:hAnsi="David" w:cs="David"/>
          <w:sz w:val="24"/>
          <w:szCs w:val="24"/>
          <w:lang w:val="en-US"/>
        </w:rPr>
      </w:pPr>
      <w:r w:rsidRPr="000C310D">
        <w:rPr>
          <w:rFonts w:ascii="David" w:eastAsia="Times New Roman" w:hAnsi="David" w:cs="David"/>
          <w:sz w:val="24"/>
          <w:szCs w:val="24"/>
          <w:rtl/>
          <w:lang w:val="en-US"/>
        </w:rPr>
        <w:t xml:space="preserve">ביטויים אלו הם ביטויים מקבילים פחות או יותר למונחים "דאורייתא" ו"דרבנן" ומקורם במשנה בכתובות: </w:t>
      </w:r>
    </w:p>
    <w:p w14:paraId="46D92DB6" w14:textId="77777777" w:rsidR="00C21800" w:rsidRPr="000C310D" w:rsidRDefault="00C21800" w:rsidP="00C21800">
      <w:pPr>
        <w:bidi/>
        <w:spacing w:after="0" w:line="240" w:lineRule="auto"/>
        <w:ind w:left="720"/>
        <w:jc w:val="both"/>
        <w:rPr>
          <w:rFonts w:ascii="David" w:eastAsia="Times New Roman" w:hAnsi="David" w:cs="David"/>
          <w:b/>
          <w:bCs/>
          <w:sz w:val="24"/>
          <w:szCs w:val="24"/>
          <w:u w:val="single"/>
          <w:rtl/>
          <w:lang w:val="en-US"/>
        </w:rPr>
      </w:pPr>
      <w:r w:rsidRPr="000C310D">
        <w:rPr>
          <w:rFonts w:ascii="David" w:eastAsia="Times New Roman" w:hAnsi="David" w:cs="David"/>
          <w:b/>
          <w:bCs/>
          <w:sz w:val="24"/>
          <w:szCs w:val="24"/>
          <w:u w:val="single"/>
          <w:rtl/>
          <w:lang w:val="en-US"/>
        </w:rPr>
        <w:t>משנה מסכת כתובות פרק ז משנה ו</w:t>
      </w:r>
    </w:p>
    <w:p w14:paraId="14BB8061" w14:textId="77777777" w:rsidR="00C21800" w:rsidRPr="000C310D" w:rsidRDefault="00C21800" w:rsidP="00C21800">
      <w:pPr>
        <w:bidi/>
        <w:spacing w:after="0" w:line="240" w:lineRule="auto"/>
        <w:ind w:left="720"/>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ואלו יוצאות שלא בכתובה (=הבעל רשאי לגרש את אשתו והוא אינו </w:t>
      </w:r>
      <w:proofErr w:type="spellStart"/>
      <w:r w:rsidRPr="000C310D">
        <w:rPr>
          <w:rFonts w:ascii="David" w:eastAsia="Times New Roman" w:hAnsi="David" w:cs="David"/>
          <w:sz w:val="24"/>
          <w:szCs w:val="24"/>
          <w:rtl/>
          <w:lang w:val="en-US"/>
        </w:rPr>
        <w:t>מחוייב</w:t>
      </w:r>
      <w:proofErr w:type="spellEnd"/>
      <w:r w:rsidRPr="000C310D">
        <w:rPr>
          <w:rFonts w:ascii="David" w:eastAsia="Times New Roman" w:hAnsi="David" w:cs="David"/>
          <w:sz w:val="24"/>
          <w:szCs w:val="24"/>
          <w:rtl/>
          <w:lang w:val="en-US"/>
        </w:rPr>
        <w:t xml:space="preserve"> לתת לה את הכסף שהתחייב עליו בכתובה): העוברת על דת משה ויהודית. </w:t>
      </w:r>
    </w:p>
    <w:p w14:paraId="7838B3DF" w14:textId="77777777" w:rsidR="00C21800" w:rsidRPr="000C310D" w:rsidRDefault="00C21800" w:rsidP="00C21800">
      <w:pPr>
        <w:bidi/>
        <w:spacing w:after="0" w:line="240" w:lineRule="auto"/>
        <w:ind w:left="720"/>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ואיזו היא דת משה? מאכילתו שאינו מעושר (=אוכל שלא הפרישו ממנו תרומות ומעשרות) ומשמשתו נדה ולא קוצה לה חלה (=לא מקפידה על מצוות הפרשת חלה) ונודרת ואינה מקיימת. </w:t>
      </w:r>
    </w:p>
    <w:p w14:paraId="3259596A" w14:textId="77777777" w:rsidR="00C21800" w:rsidRPr="000C310D" w:rsidRDefault="00C21800" w:rsidP="00C21800">
      <w:pPr>
        <w:bidi/>
        <w:spacing w:after="0" w:line="240" w:lineRule="auto"/>
        <w:ind w:left="720"/>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ואיזוהי דת יהודית? יוצאה וראשה פרוע, וטווה בשוק (=מראה זרועותיה לכל אדם) ומדברת עם כל אדם. אבא שאול אומר: אף המקללת </w:t>
      </w:r>
      <w:proofErr w:type="spellStart"/>
      <w:r w:rsidRPr="000C310D">
        <w:rPr>
          <w:rFonts w:ascii="David" w:eastAsia="Times New Roman" w:hAnsi="David" w:cs="David"/>
          <w:sz w:val="24"/>
          <w:szCs w:val="24"/>
          <w:rtl/>
          <w:lang w:val="en-US"/>
        </w:rPr>
        <w:t>יולדיו</w:t>
      </w:r>
      <w:proofErr w:type="spellEnd"/>
      <w:r w:rsidRPr="000C310D">
        <w:rPr>
          <w:rFonts w:ascii="David" w:eastAsia="Times New Roman" w:hAnsi="David" w:cs="David"/>
          <w:sz w:val="24"/>
          <w:szCs w:val="24"/>
          <w:rtl/>
          <w:lang w:val="en-US"/>
        </w:rPr>
        <w:t xml:space="preserve"> (=הוריו) בפניו. רבי טרפון אומר: אף הקולנית. ואיזו היא קולנית? </w:t>
      </w:r>
      <w:proofErr w:type="spellStart"/>
      <w:r w:rsidRPr="000C310D">
        <w:rPr>
          <w:rFonts w:ascii="David" w:eastAsia="Times New Roman" w:hAnsi="David" w:cs="David"/>
          <w:sz w:val="24"/>
          <w:szCs w:val="24"/>
          <w:rtl/>
          <w:lang w:val="en-US"/>
        </w:rPr>
        <w:t>לכשהיא</w:t>
      </w:r>
      <w:proofErr w:type="spellEnd"/>
      <w:r w:rsidRPr="000C310D">
        <w:rPr>
          <w:rFonts w:ascii="David" w:eastAsia="Times New Roman" w:hAnsi="David" w:cs="David"/>
          <w:sz w:val="24"/>
          <w:szCs w:val="24"/>
          <w:rtl/>
          <w:lang w:val="en-US"/>
        </w:rPr>
        <w:t xml:space="preserve"> מדברת בתוך ביתה ושכניה </w:t>
      </w:r>
      <w:proofErr w:type="spellStart"/>
      <w:r w:rsidRPr="000C310D">
        <w:rPr>
          <w:rFonts w:ascii="David" w:eastAsia="Times New Roman" w:hAnsi="David" w:cs="David"/>
          <w:sz w:val="24"/>
          <w:szCs w:val="24"/>
          <w:rtl/>
          <w:lang w:val="en-US"/>
        </w:rPr>
        <w:t>שומעין</w:t>
      </w:r>
      <w:proofErr w:type="spellEnd"/>
      <w:r w:rsidRPr="000C310D">
        <w:rPr>
          <w:rFonts w:ascii="David" w:eastAsia="Times New Roman" w:hAnsi="David" w:cs="David"/>
          <w:sz w:val="24"/>
          <w:szCs w:val="24"/>
          <w:rtl/>
          <w:lang w:val="en-US"/>
        </w:rPr>
        <w:t xml:space="preserve"> קולה. </w:t>
      </w:r>
    </w:p>
    <w:p w14:paraId="28C80476" w14:textId="77777777" w:rsidR="00C21800" w:rsidRPr="000C310D" w:rsidRDefault="00C21800" w:rsidP="00C21800">
      <w:pPr>
        <w:bidi/>
        <w:spacing w:after="0" w:line="240" w:lineRule="auto"/>
        <w:ind w:left="360"/>
        <w:jc w:val="both"/>
        <w:rPr>
          <w:rFonts w:ascii="David" w:eastAsia="Times New Roman" w:hAnsi="David" w:cs="David"/>
          <w:sz w:val="24"/>
          <w:szCs w:val="24"/>
          <w:rtl/>
          <w:lang w:val="en-US"/>
        </w:rPr>
      </w:pPr>
    </w:p>
    <w:p w14:paraId="1C5FEB40"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u w:val="single"/>
          <w:rtl/>
          <w:lang w:val="en-US"/>
        </w:rPr>
        <w:t>העוברת על דת משה</w:t>
      </w:r>
      <w:r w:rsidRPr="000C310D">
        <w:rPr>
          <w:rFonts w:ascii="David" w:eastAsia="Times New Roman" w:hAnsi="David" w:cs="David"/>
          <w:sz w:val="24"/>
          <w:szCs w:val="24"/>
          <w:rtl/>
          <w:lang w:val="en-US"/>
        </w:rPr>
        <w:t xml:space="preserve"> היא הנוהגת בניגוד למצוות מפורשות מן התורה. </w:t>
      </w:r>
      <w:r w:rsidRPr="000C310D">
        <w:rPr>
          <w:rFonts w:ascii="David" w:eastAsia="Times New Roman" w:hAnsi="David" w:cs="David"/>
          <w:sz w:val="24"/>
          <w:szCs w:val="24"/>
          <w:u w:val="single"/>
          <w:rtl/>
          <w:lang w:val="en-US"/>
        </w:rPr>
        <w:t>ואילו העוברת על דת יהודית</w:t>
      </w:r>
      <w:r w:rsidRPr="000C310D">
        <w:rPr>
          <w:rFonts w:ascii="David" w:eastAsia="Times New Roman" w:hAnsi="David" w:cs="David"/>
          <w:sz w:val="24"/>
          <w:szCs w:val="24"/>
          <w:rtl/>
          <w:lang w:val="en-US"/>
        </w:rPr>
        <w:t xml:space="preserve"> היא הנוהגת בצורה לא ראויה ולא צנועה, שאינה מתאימה לבת ישראל. </w:t>
      </w:r>
    </w:p>
    <w:p w14:paraId="26D0BB8F"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הגמרא מעלה תהייה  על דברי המשנה, המגדירה את "יוצאה וראשה פרוע" כדת יהודית, שהרי מקור דין זה הוא בדברי תורה. מסקנתה של הגמרא היא שלדין כיסוי ראש יש שני מקורות:</w:t>
      </w:r>
    </w:p>
    <w:p w14:paraId="30B83777"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1.הראשון והבסיסי, מדאורייתא.</w:t>
      </w:r>
    </w:p>
    <w:p w14:paraId="263493E5"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2. השני, המקיף יותר, מדברי חכמים.</w:t>
      </w:r>
    </w:p>
    <w:p w14:paraId="4A1A6C7E" w14:textId="77777777" w:rsidR="00C21800" w:rsidRPr="000C310D" w:rsidRDefault="00C21800" w:rsidP="00C21800">
      <w:pPr>
        <w:bidi/>
        <w:spacing w:after="0" w:line="240" w:lineRule="auto"/>
        <w:jc w:val="both"/>
        <w:rPr>
          <w:rFonts w:ascii="David" w:eastAsia="Times New Roman" w:hAnsi="David" w:cs="David"/>
          <w:sz w:val="24"/>
          <w:szCs w:val="24"/>
          <w:rtl/>
          <w:lang w:val="en-US"/>
        </w:rPr>
      </w:pPr>
    </w:p>
    <w:p w14:paraId="72C0EF5E" w14:textId="77777777" w:rsidR="00C21800" w:rsidRPr="000C310D" w:rsidRDefault="00C21800" w:rsidP="00C21800">
      <w:pPr>
        <w:numPr>
          <w:ilvl w:val="0"/>
          <w:numId w:val="1"/>
        </w:numPr>
        <w:bidi/>
        <w:spacing w:after="0" w:line="240" w:lineRule="auto"/>
        <w:contextualSpacing/>
        <w:jc w:val="both"/>
        <w:rPr>
          <w:rFonts w:ascii="David" w:eastAsia="Times New Roman" w:hAnsi="David" w:cs="David"/>
          <w:sz w:val="24"/>
          <w:szCs w:val="24"/>
          <w:lang w:val="en-US"/>
        </w:rPr>
      </w:pPr>
      <w:r w:rsidRPr="000C310D">
        <w:rPr>
          <w:rFonts w:ascii="David" w:eastAsia="Times New Roman" w:hAnsi="David" w:cs="David"/>
          <w:b/>
          <w:bCs/>
          <w:sz w:val="24"/>
          <w:szCs w:val="24"/>
          <w:u w:val="single"/>
          <w:rtl/>
          <w:lang w:val="en-US"/>
        </w:rPr>
        <w:t>בפרשת אישה סוטה (במדבר ה)</w:t>
      </w:r>
      <w:r w:rsidRPr="000C310D">
        <w:rPr>
          <w:rFonts w:ascii="David" w:eastAsia="Times New Roman" w:hAnsi="David" w:cs="David"/>
          <w:sz w:val="24"/>
          <w:szCs w:val="24"/>
          <w:rtl/>
          <w:lang w:val="en-US"/>
        </w:rPr>
        <w:t xml:space="preserve"> מתואר כי לפני השקיית האישה במים המאררים צריך הכהן לפרוע את שיער ראשה. מתיאור זה ניתן ללמוד שבאופן רגיל שערה של אישה </w:t>
      </w:r>
      <w:proofErr w:type="spellStart"/>
      <w:r w:rsidRPr="000C310D">
        <w:rPr>
          <w:rFonts w:ascii="David" w:eastAsia="Times New Roman" w:hAnsi="David" w:cs="David"/>
          <w:sz w:val="24"/>
          <w:szCs w:val="24"/>
          <w:rtl/>
          <w:lang w:val="en-US"/>
        </w:rPr>
        <w:t>יהודיה</w:t>
      </w:r>
      <w:proofErr w:type="spellEnd"/>
      <w:r w:rsidRPr="000C310D">
        <w:rPr>
          <w:rFonts w:ascii="David" w:eastAsia="Times New Roman" w:hAnsi="David" w:cs="David"/>
          <w:sz w:val="24"/>
          <w:szCs w:val="24"/>
          <w:rtl/>
          <w:lang w:val="en-US"/>
        </w:rPr>
        <w:t xml:space="preserve"> אינו פרוע. </w:t>
      </w:r>
    </w:p>
    <w:p w14:paraId="6EABE1EE" w14:textId="77777777" w:rsidR="00C21800" w:rsidRPr="000C310D" w:rsidRDefault="00C21800" w:rsidP="00C21800">
      <w:pPr>
        <w:numPr>
          <w:ilvl w:val="0"/>
          <w:numId w:val="1"/>
        </w:numPr>
        <w:bidi/>
        <w:spacing w:after="0" w:line="240" w:lineRule="auto"/>
        <w:contextualSpacing/>
        <w:jc w:val="both"/>
        <w:rPr>
          <w:rFonts w:ascii="David" w:eastAsia="Times New Roman" w:hAnsi="David" w:cs="David"/>
          <w:sz w:val="24"/>
          <w:szCs w:val="24"/>
          <w:lang w:val="en-US"/>
        </w:rPr>
      </w:pPr>
      <w:r w:rsidRPr="000C310D">
        <w:rPr>
          <w:rFonts w:ascii="David" w:eastAsia="Times New Roman" w:hAnsi="David" w:cs="David"/>
          <w:sz w:val="24"/>
          <w:szCs w:val="24"/>
          <w:rtl/>
          <w:lang w:val="en-US"/>
        </w:rPr>
        <w:t xml:space="preserve">ע"פ </w:t>
      </w:r>
      <w:r w:rsidRPr="000C310D">
        <w:rPr>
          <w:rFonts w:ascii="David" w:eastAsia="Times New Roman" w:hAnsi="David" w:cs="David"/>
          <w:sz w:val="24"/>
          <w:szCs w:val="24"/>
          <w:u w:val="single"/>
          <w:rtl/>
          <w:lang w:val="en-US"/>
        </w:rPr>
        <w:t>רש"י</w:t>
      </w:r>
      <w:r w:rsidRPr="000C310D">
        <w:rPr>
          <w:rFonts w:ascii="David" w:eastAsia="Times New Roman" w:hAnsi="David" w:cs="David"/>
          <w:sz w:val="24"/>
          <w:szCs w:val="24"/>
          <w:rtl/>
          <w:lang w:val="en-US"/>
        </w:rPr>
        <w:t xml:space="preserve"> ניתן להבין מכך שהוא בדרך כלל קלוע ואסוף, </w:t>
      </w:r>
    </w:p>
    <w:p w14:paraId="5307602B" w14:textId="77777777" w:rsidR="00C21800" w:rsidRPr="000C310D" w:rsidRDefault="00C21800" w:rsidP="00C21800">
      <w:pPr>
        <w:numPr>
          <w:ilvl w:val="0"/>
          <w:numId w:val="1"/>
        </w:numPr>
        <w:bidi/>
        <w:spacing w:after="0" w:line="240" w:lineRule="auto"/>
        <w:contextualSpacing/>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אולם ע"פ </w:t>
      </w:r>
      <w:r w:rsidRPr="000C310D">
        <w:rPr>
          <w:rFonts w:ascii="David" w:eastAsia="Times New Roman" w:hAnsi="David" w:cs="David"/>
          <w:sz w:val="24"/>
          <w:szCs w:val="24"/>
          <w:u w:val="single"/>
          <w:rtl/>
          <w:lang w:val="en-US"/>
        </w:rPr>
        <w:t>הספרי</w:t>
      </w:r>
      <w:r w:rsidRPr="000C310D">
        <w:rPr>
          <w:rFonts w:ascii="David" w:eastAsia="Times New Roman" w:hAnsi="David" w:cs="David"/>
          <w:sz w:val="24"/>
          <w:szCs w:val="24"/>
          <w:rtl/>
          <w:lang w:val="en-US"/>
        </w:rPr>
        <w:t xml:space="preserve"> לומדים מכך שהתורה מציירת את דמות האישה הנשואה כדמות ההולכת בשיער מכוסה, ולא רק אסוף. </w:t>
      </w:r>
    </w:p>
    <w:p w14:paraId="5D014370"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מדין תורה הכיסוי הוא סמלי ונקרא "קלתה" </w:t>
      </w:r>
    </w:p>
    <w:p w14:paraId="1484F628"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אולם מדין "דת יהודית" כיסוי סמלי שכזה אינו מספיק ויש לכסות את השיער באופן מלא יותר.</w:t>
      </w:r>
    </w:p>
    <w:p w14:paraId="4BE42789"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למרות שהביטוי "דת יהודית" מתייחס לנוהג הקיים בקרב בנות ישראל אין ללמוד מכך שבמקומות ובזמנים בהם נשים רבות אינן מכסות את שערן באופן מלא, הדבר הופך מותר. היו מקומות בעבר שפשט המנהג שלא לכסות את הראש ועדיין גדרי הכיסוי שנקבעו ע"י חכמים התקבלו על ידי פוסקי כל הדורות כהלכה מחייבת (לכן בעניין זה אין מנהג מקום אלא זו חובה). </w:t>
      </w:r>
    </w:p>
    <w:p w14:paraId="0ACD85CB"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כך פסק </w:t>
      </w:r>
      <w:r w:rsidRPr="000C310D">
        <w:rPr>
          <w:rFonts w:ascii="David" w:eastAsia="Times New Roman" w:hAnsi="David" w:cs="David"/>
          <w:sz w:val="24"/>
          <w:szCs w:val="24"/>
          <w:u w:val="single"/>
          <w:rtl/>
          <w:lang w:val="en-US"/>
        </w:rPr>
        <w:t>המשנה ברורה</w:t>
      </w:r>
      <w:r w:rsidRPr="000C310D">
        <w:rPr>
          <w:rFonts w:ascii="David" w:eastAsia="Times New Roman" w:hAnsi="David" w:cs="David"/>
          <w:sz w:val="24"/>
          <w:szCs w:val="24"/>
          <w:rtl/>
          <w:lang w:val="en-US"/>
        </w:rPr>
        <w:t xml:space="preserve"> וכך כותב ה</w:t>
      </w:r>
      <w:r w:rsidRPr="000C310D">
        <w:rPr>
          <w:rFonts w:ascii="David" w:eastAsia="Times New Roman" w:hAnsi="David" w:cs="David"/>
          <w:sz w:val="24"/>
          <w:szCs w:val="24"/>
          <w:u w:val="single"/>
          <w:rtl/>
          <w:lang w:val="en-US"/>
        </w:rPr>
        <w:t>רב עובדיה יוסף</w:t>
      </w:r>
      <w:r w:rsidRPr="000C310D">
        <w:rPr>
          <w:rFonts w:ascii="David" w:eastAsia="Times New Roman" w:hAnsi="David" w:cs="David"/>
          <w:sz w:val="24"/>
          <w:szCs w:val="24"/>
          <w:rtl/>
          <w:lang w:val="en-US"/>
        </w:rPr>
        <w:t xml:space="preserve"> במקור המובא בחוברת. פירוש הביטוי המופיע בדברי הרב עובדיה יוסף "מבלי יסוד מוסד בזה" הוא ללא דעה קודמת שניתן לסמוך עליה בעניין זה. כלומר אלו הטוענים כי דין זה משתנה ע"פ המנהג באותה עת, אין להם על מי לסמוך את דבריהם.</w:t>
      </w:r>
    </w:p>
    <w:p w14:paraId="09927A1E" w14:textId="77777777" w:rsidR="00C21800" w:rsidRPr="00AD1074" w:rsidRDefault="00C21800" w:rsidP="00C21800">
      <w:pPr>
        <w:bidi/>
        <w:spacing w:after="0" w:line="240" w:lineRule="auto"/>
        <w:ind w:left="360"/>
        <w:rPr>
          <w:rFonts w:ascii="David" w:eastAsia="Times New Roman" w:hAnsi="David" w:cs="David"/>
          <w:b/>
          <w:bCs/>
          <w:sz w:val="24"/>
          <w:szCs w:val="24"/>
          <w:u w:val="single"/>
          <w:rtl/>
          <w:lang w:val="en-US"/>
        </w:rPr>
      </w:pPr>
      <w:proofErr w:type="spellStart"/>
      <w:r>
        <w:rPr>
          <w:rFonts w:ascii="David" w:eastAsia="Times New Roman" w:hAnsi="David" w:cs="David" w:hint="cs"/>
          <w:b/>
          <w:bCs/>
          <w:sz w:val="24"/>
          <w:szCs w:val="24"/>
          <w:u w:val="single"/>
          <w:rtl/>
          <w:lang w:val="en-US"/>
        </w:rPr>
        <w:t>ב.</w:t>
      </w:r>
      <w:r w:rsidRPr="00AD1074">
        <w:rPr>
          <w:rFonts w:ascii="David" w:eastAsia="Times New Roman" w:hAnsi="David" w:cs="David"/>
          <w:b/>
          <w:bCs/>
          <w:sz w:val="24"/>
          <w:szCs w:val="24"/>
          <w:u w:val="single"/>
          <w:rtl/>
          <w:lang w:val="en-US"/>
        </w:rPr>
        <w:t>אופן</w:t>
      </w:r>
      <w:proofErr w:type="spellEnd"/>
      <w:r w:rsidRPr="00AD1074">
        <w:rPr>
          <w:rFonts w:ascii="David" w:eastAsia="Times New Roman" w:hAnsi="David" w:cs="David"/>
          <w:b/>
          <w:bCs/>
          <w:sz w:val="24"/>
          <w:szCs w:val="24"/>
          <w:u w:val="single"/>
          <w:rtl/>
          <w:lang w:val="en-US"/>
        </w:rPr>
        <w:t xml:space="preserve"> הכיסוי</w:t>
      </w:r>
    </w:p>
    <w:p w14:paraId="53637B4F" w14:textId="77777777" w:rsidR="00C21800" w:rsidRPr="000C310D" w:rsidRDefault="00C21800" w:rsidP="00C21800">
      <w:pPr>
        <w:numPr>
          <w:ilvl w:val="0"/>
          <w:numId w:val="1"/>
        </w:numPr>
        <w:bidi/>
        <w:spacing w:after="0" w:line="240" w:lineRule="auto"/>
        <w:contextualSpacing/>
        <w:jc w:val="both"/>
        <w:rPr>
          <w:rFonts w:ascii="David" w:eastAsia="Times New Roman" w:hAnsi="David" w:cs="David"/>
          <w:sz w:val="24"/>
          <w:szCs w:val="24"/>
          <w:lang w:val="en-US"/>
        </w:rPr>
      </w:pPr>
      <w:r w:rsidRPr="000C310D">
        <w:rPr>
          <w:rFonts w:ascii="David" w:eastAsia="Times New Roman" w:hAnsi="David" w:cs="David"/>
          <w:sz w:val="24"/>
          <w:szCs w:val="24"/>
          <w:rtl/>
          <w:lang w:val="en-US"/>
        </w:rPr>
        <w:t xml:space="preserve">ע"פ </w:t>
      </w:r>
      <w:proofErr w:type="spellStart"/>
      <w:r w:rsidRPr="000C310D">
        <w:rPr>
          <w:rFonts w:ascii="David" w:eastAsia="Times New Roman" w:hAnsi="David" w:cs="David"/>
          <w:sz w:val="24"/>
          <w:szCs w:val="24"/>
          <w:u w:val="single"/>
          <w:rtl/>
          <w:lang w:val="en-US"/>
        </w:rPr>
        <w:t>החת"ם</w:t>
      </w:r>
      <w:proofErr w:type="spellEnd"/>
      <w:r w:rsidRPr="000C310D">
        <w:rPr>
          <w:rFonts w:ascii="David" w:eastAsia="Times New Roman" w:hAnsi="David" w:cs="David"/>
          <w:sz w:val="24"/>
          <w:szCs w:val="24"/>
          <w:u w:val="single"/>
          <w:rtl/>
          <w:lang w:val="en-US"/>
        </w:rPr>
        <w:t xml:space="preserve"> סופר</w:t>
      </w:r>
      <w:r w:rsidRPr="000C310D">
        <w:rPr>
          <w:rFonts w:ascii="David" w:eastAsia="Times New Roman" w:hAnsi="David" w:cs="David"/>
          <w:sz w:val="24"/>
          <w:szCs w:val="24"/>
          <w:rtl/>
          <w:lang w:val="en-US"/>
        </w:rPr>
        <w:t>, התולה את דבריו בדברי הזוהר, יש לכסות לחלוטין את כל שיער הראש.</w:t>
      </w:r>
    </w:p>
    <w:p w14:paraId="2A7E5832" w14:textId="77777777" w:rsidR="00C21800" w:rsidRPr="000C310D" w:rsidRDefault="00C21800" w:rsidP="00C21800">
      <w:pPr>
        <w:numPr>
          <w:ilvl w:val="0"/>
          <w:numId w:val="1"/>
        </w:numPr>
        <w:bidi/>
        <w:spacing w:after="0" w:line="240" w:lineRule="auto"/>
        <w:contextualSpacing/>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אולם יש דעות המתירות את השערות שנשמטות באופן טבעי מתחת לכיסוי וקשה להכניסן. </w:t>
      </w:r>
    </w:p>
    <w:p w14:paraId="4C0A4F7A" w14:textId="77777777" w:rsidR="00C21800" w:rsidRPr="000C310D" w:rsidRDefault="00C21800" w:rsidP="00C21800">
      <w:pPr>
        <w:numPr>
          <w:ilvl w:val="0"/>
          <w:numId w:val="1"/>
        </w:numPr>
        <w:bidi/>
        <w:spacing w:after="0" w:line="240" w:lineRule="auto"/>
        <w:contextualSpacing/>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ע"פ </w:t>
      </w:r>
      <w:r w:rsidRPr="000C310D">
        <w:rPr>
          <w:rFonts w:ascii="David" w:eastAsia="Times New Roman" w:hAnsi="David" w:cs="David"/>
          <w:sz w:val="24"/>
          <w:szCs w:val="24"/>
          <w:u w:val="single"/>
          <w:rtl/>
          <w:lang w:val="en-US"/>
        </w:rPr>
        <w:t xml:space="preserve">הרב </w:t>
      </w:r>
      <w:proofErr w:type="spellStart"/>
      <w:r w:rsidRPr="000C310D">
        <w:rPr>
          <w:rFonts w:ascii="David" w:eastAsia="Times New Roman" w:hAnsi="David" w:cs="David"/>
          <w:sz w:val="24"/>
          <w:szCs w:val="24"/>
          <w:u w:val="single"/>
          <w:rtl/>
          <w:lang w:val="en-US"/>
        </w:rPr>
        <w:t>פיינשטיין</w:t>
      </w:r>
      <w:proofErr w:type="spellEnd"/>
      <w:r w:rsidRPr="000C310D">
        <w:rPr>
          <w:rFonts w:ascii="David" w:eastAsia="Times New Roman" w:hAnsi="David" w:cs="David"/>
          <w:sz w:val="24"/>
          <w:szCs w:val="24"/>
          <w:u w:val="single"/>
          <w:rtl/>
          <w:lang w:val="en-US"/>
        </w:rPr>
        <w:t xml:space="preserve"> </w:t>
      </w:r>
      <w:r w:rsidRPr="000C310D">
        <w:rPr>
          <w:rFonts w:ascii="David" w:eastAsia="Times New Roman" w:hAnsi="David" w:cs="David"/>
          <w:sz w:val="24"/>
          <w:szCs w:val="24"/>
          <w:rtl/>
          <w:lang w:val="en-US"/>
        </w:rPr>
        <w:t>הציווי הוא לא לצאת בשיער פרוע ולא כתוב שלא יצאו בשיער מגולה. לכן ניתן להתיר גילוי של מעט שערות, בשיעור של חצי טפח, שתי אצבעות, כארבעה ס"מ.</w:t>
      </w:r>
    </w:p>
    <w:p w14:paraId="4297E8F1"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    הרב </w:t>
      </w:r>
      <w:proofErr w:type="spellStart"/>
      <w:r w:rsidRPr="000C310D">
        <w:rPr>
          <w:rFonts w:ascii="David" w:eastAsia="Times New Roman" w:hAnsi="David" w:cs="David"/>
          <w:sz w:val="24"/>
          <w:szCs w:val="24"/>
          <w:rtl/>
          <w:lang w:val="en-US"/>
        </w:rPr>
        <w:t>פיינשטיין</w:t>
      </w:r>
      <w:proofErr w:type="spellEnd"/>
      <w:r w:rsidRPr="000C310D">
        <w:rPr>
          <w:rFonts w:ascii="David" w:eastAsia="Times New Roman" w:hAnsi="David" w:cs="David"/>
          <w:sz w:val="24"/>
          <w:szCs w:val="24"/>
          <w:rtl/>
          <w:lang w:val="en-US"/>
        </w:rPr>
        <w:t xml:space="preserve"> מדגיש כי למרות פסיקתו של </w:t>
      </w:r>
      <w:proofErr w:type="spellStart"/>
      <w:r w:rsidRPr="000C310D">
        <w:rPr>
          <w:rFonts w:ascii="David" w:eastAsia="Times New Roman" w:hAnsi="David" w:cs="David"/>
          <w:sz w:val="24"/>
          <w:szCs w:val="24"/>
          <w:rtl/>
          <w:lang w:val="en-US"/>
        </w:rPr>
        <w:t>החת"ם</w:t>
      </w:r>
      <w:proofErr w:type="spellEnd"/>
      <w:r w:rsidRPr="000C310D">
        <w:rPr>
          <w:rFonts w:ascii="David" w:eastAsia="Times New Roman" w:hAnsi="David" w:cs="David"/>
          <w:sz w:val="24"/>
          <w:szCs w:val="24"/>
          <w:rtl/>
          <w:lang w:val="en-US"/>
        </w:rPr>
        <w:t xml:space="preserve"> סופר שיש </w:t>
      </w:r>
    </w:p>
    <w:p w14:paraId="58D0356C"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    לכסות את כל השערות, מי שמוציאה מעט שערות אינה נחשבת </w:t>
      </w:r>
    </w:p>
    <w:p w14:paraId="469E6233"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noProof/>
          <w:sz w:val="24"/>
          <w:szCs w:val="24"/>
          <w:rtl/>
          <w:lang w:val="en-US"/>
        </w:rPr>
        <mc:AlternateContent>
          <mc:Choice Requires="wps">
            <w:drawing>
              <wp:anchor distT="0" distB="0" distL="114300" distR="114300" simplePos="0" relativeHeight="251659264" behindDoc="0" locked="0" layoutInCell="1" allowOverlap="1" wp14:anchorId="1B0AC60A" wp14:editId="075C2CBA">
                <wp:simplePos x="0" y="0"/>
                <wp:positionH relativeFrom="margin">
                  <wp:posOffset>-876300</wp:posOffset>
                </wp:positionH>
                <wp:positionV relativeFrom="paragraph">
                  <wp:posOffset>246381</wp:posOffset>
                </wp:positionV>
                <wp:extent cx="6743700" cy="647700"/>
                <wp:effectExtent l="0" t="0" r="19050" b="19050"/>
                <wp:wrapNone/>
                <wp:docPr id="1" name="מלבן 1"/>
                <wp:cNvGraphicFramePr/>
                <a:graphic xmlns:a="http://schemas.openxmlformats.org/drawingml/2006/main">
                  <a:graphicData uri="http://schemas.microsoft.com/office/word/2010/wordprocessingShape">
                    <wps:wsp>
                      <wps:cNvSpPr/>
                      <wps:spPr>
                        <a:xfrm>
                          <a:off x="0" y="0"/>
                          <a:ext cx="6743700" cy="647700"/>
                        </a:xfrm>
                        <a:prstGeom prst="rect">
                          <a:avLst/>
                        </a:prstGeom>
                        <a:solidFill>
                          <a:srgbClr val="4F81BD"/>
                        </a:solidFill>
                        <a:ln w="25400" cap="flat" cmpd="sng" algn="ctr">
                          <a:solidFill>
                            <a:srgbClr val="4F81BD">
                              <a:shade val="50000"/>
                            </a:srgbClr>
                          </a:solidFill>
                          <a:prstDash val="solid"/>
                        </a:ln>
                        <a:effectLst/>
                      </wps:spPr>
                      <wps:txbx>
                        <w:txbxContent>
                          <w:p w14:paraId="4500005D" w14:textId="77777777" w:rsidR="00C21800" w:rsidRPr="003D30FB" w:rsidRDefault="00C21800" w:rsidP="00C21800">
                            <w:pPr>
                              <w:spacing w:after="0"/>
                              <w:jc w:val="both"/>
                              <w:rPr>
                                <w:rFonts w:ascii="Times New Roman" w:eastAsia="Times New Roman" w:hAnsi="Times New Roman" w:cs="Guttman Yad-Brush"/>
                                <w:rtl/>
                              </w:rPr>
                            </w:pPr>
                            <w:r w:rsidRPr="003D30FB">
                              <w:rPr>
                                <w:rFonts w:ascii="Times New Roman" w:eastAsia="Times New Roman" w:hAnsi="Times New Roman" w:cs="Guttman Yad-Brush" w:hint="cs"/>
                                <w:b/>
                                <w:bCs/>
                                <w:u w:val="single"/>
                                <w:rtl/>
                              </w:rPr>
                              <w:t>לסיכום:</w:t>
                            </w:r>
                            <w:r w:rsidRPr="003D30FB">
                              <w:rPr>
                                <w:rFonts w:ascii="Times New Roman" w:eastAsia="Times New Roman" w:hAnsi="Times New Roman" w:cs="Guttman Yad-Brush" w:hint="cs"/>
                                <w:rtl/>
                              </w:rPr>
                              <w:t xml:space="preserve"> מעיקר הדין צריך לכסות את רוב שיער הגוף, אבל מותר להוציא קצת שיער, ולאו דווקא שיעור מסוים אלא כפי הנהוג בחברה של שומרי תורה ומצוות אליה היא משתייכת.</w:t>
                            </w:r>
                          </w:p>
                          <w:p w14:paraId="2C1ABDF0" w14:textId="77777777" w:rsidR="00C21800" w:rsidRPr="004B1334" w:rsidRDefault="00C21800" w:rsidP="00C21800">
                            <w:pPr>
                              <w:jc w:val="center"/>
                              <w:rPr>
                                <w:i/>
                                <w:i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AC60A" id="מלבן 1" o:spid="_x0000_s1026" style="position:absolute;left:0;text-align:left;margin-left:-69pt;margin-top:19.4pt;width:531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" fillcolor="#4f81bd" strokecolor="#385d8a" strokeweight="2pt">
                <v:textbox>
                  <w:txbxContent>
                    <w:p w14:paraId="4500005D" w14:textId="77777777" w:rsidR="00C21800" w:rsidRPr="003D30FB" w:rsidRDefault="00C21800" w:rsidP="00C21800">
                      <w:pPr>
                        <w:spacing w:after="0"/>
                        <w:jc w:val="both"/>
                        <w:rPr>
                          <w:rFonts w:ascii="Times New Roman" w:eastAsia="Times New Roman" w:hAnsi="Times New Roman" w:cs="Guttman Yad-Brush"/>
                          <w:rtl/>
                        </w:rPr>
                      </w:pPr>
                      <w:r w:rsidRPr="003D30FB">
                        <w:rPr>
                          <w:rFonts w:ascii="Times New Roman" w:eastAsia="Times New Roman" w:hAnsi="Times New Roman" w:cs="Guttman Yad-Brush" w:hint="cs"/>
                          <w:b/>
                          <w:bCs/>
                          <w:u w:val="single"/>
                          <w:rtl/>
                        </w:rPr>
                        <w:t>לסיכום:</w:t>
                      </w:r>
                      <w:r w:rsidRPr="003D30FB">
                        <w:rPr>
                          <w:rFonts w:ascii="Times New Roman" w:eastAsia="Times New Roman" w:hAnsi="Times New Roman" w:cs="Guttman Yad-Brush" w:hint="cs"/>
                          <w:rtl/>
                        </w:rPr>
                        <w:t xml:space="preserve"> מעיקר הדין צריך לכסות את רוב שיער הגוף, אבל מותר להוציא קצת שיער, ולאו דווקא שיעור מסוים אלא כפי הנהוג בחברה של שומרי תורה ומצוות אליה היא משתייכת.</w:t>
                      </w:r>
                    </w:p>
                    <w:p w14:paraId="2C1ABDF0" w14:textId="77777777" w:rsidR="00C21800" w:rsidRPr="004B1334" w:rsidRDefault="00C21800" w:rsidP="00C21800">
                      <w:pPr>
                        <w:jc w:val="center"/>
                        <w:rPr>
                          <w:i/>
                          <w:iCs/>
                        </w:rPr>
                      </w:pPr>
                    </w:p>
                  </w:txbxContent>
                </v:textbox>
                <w10:wrap anchorx="margin"/>
              </v:rect>
            </w:pict>
          </mc:Fallback>
        </mc:AlternateContent>
      </w:r>
      <w:r w:rsidRPr="000C310D">
        <w:rPr>
          <w:rFonts w:ascii="David" w:eastAsia="Times New Roman" w:hAnsi="David" w:cs="David"/>
          <w:sz w:val="24"/>
          <w:szCs w:val="24"/>
          <w:rtl/>
          <w:lang w:val="en-US"/>
        </w:rPr>
        <w:t xml:space="preserve">    כעוברת על דת יהודית.</w:t>
      </w:r>
    </w:p>
    <w:p w14:paraId="452A22EE" w14:textId="77777777" w:rsidR="00C21800" w:rsidRPr="000C310D" w:rsidRDefault="00C21800" w:rsidP="00C21800">
      <w:pPr>
        <w:bidi/>
        <w:spacing w:after="0" w:line="240" w:lineRule="auto"/>
        <w:jc w:val="both"/>
        <w:rPr>
          <w:rFonts w:ascii="David" w:eastAsia="Times New Roman" w:hAnsi="David" w:cs="David"/>
          <w:sz w:val="24"/>
          <w:szCs w:val="24"/>
          <w:rtl/>
          <w:lang w:val="en-US"/>
        </w:rPr>
      </w:pPr>
    </w:p>
    <w:p w14:paraId="7C8AED95" w14:textId="77777777" w:rsidR="00C21800" w:rsidRPr="000C310D" w:rsidRDefault="00C21800" w:rsidP="00C21800">
      <w:pPr>
        <w:bidi/>
        <w:spacing w:after="0" w:line="240" w:lineRule="auto"/>
        <w:jc w:val="both"/>
        <w:rPr>
          <w:rFonts w:ascii="David" w:eastAsia="Times New Roman" w:hAnsi="David" w:cs="David"/>
          <w:sz w:val="24"/>
          <w:szCs w:val="24"/>
          <w:rtl/>
          <w:lang w:val="en-US"/>
        </w:rPr>
      </w:pPr>
    </w:p>
    <w:p w14:paraId="78C96742" w14:textId="77777777" w:rsidR="00C21800" w:rsidRPr="000C310D" w:rsidRDefault="00C21800" w:rsidP="00C21800">
      <w:pPr>
        <w:bidi/>
        <w:spacing w:after="0" w:line="240" w:lineRule="auto"/>
        <w:jc w:val="both"/>
        <w:rPr>
          <w:rFonts w:ascii="David" w:eastAsia="Times New Roman" w:hAnsi="David" w:cs="David"/>
          <w:sz w:val="24"/>
          <w:szCs w:val="24"/>
          <w:rtl/>
          <w:lang w:val="en-US"/>
        </w:rPr>
      </w:pPr>
    </w:p>
    <w:p w14:paraId="618B522D" w14:textId="77777777" w:rsidR="00C21800" w:rsidRPr="000C310D" w:rsidRDefault="00C21800" w:rsidP="00C21800">
      <w:pPr>
        <w:bidi/>
        <w:spacing w:after="0" w:line="240" w:lineRule="auto"/>
        <w:jc w:val="both"/>
        <w:rPr>
          <w:rFonts w:ascii="David" w:eastAsia="Times New Roman" w:hAnsi="David" w:cs="David"/>
          <w:sz w:val="24"/>
          <w:szCs w:val="24"/>
          <w:rtl/>
          <w:lang w:val="en-US"/>
        </w:rPr>
      </w:pPr>
    </w:p>
    <w:p w14:paraId="38DC6449" w14:textId="77777777" w:rsidR="00C21800" w:rsidRPr="000C310D" w:rsidRDefault="00C21800" w:rsidP="00C21800">
      <w:pPr>
        <w:bidi/>
        <w:spacing w:after="0" w:line="240" w:lineRule="auto"/>
        <w:jc w:val="both"/>
        <w:rPr>
          <w:rFonts w:ascii="David" w:eastAsia="Times New Roman" w:hAnsi="David" w:cs="David"/>
          <w:sz w:val="24"/>
          <w:szCs w:val="24"/>
          <w:lang w:val="en-US"/>
        </w:rPr>
      </w:pPr>
    </w:p>
    <w:p w14:paraId="7A00197C" w14:textId="77777777" w:rsidR="00C21800" w:rsidRDefault="00C21800" w:rsidP="00C21800">
      <w:pPr>
        <w:bidi/>
        <w:spacing w:after="0" w:line="240" w:lineRule="auto"/>
        <w:jc w:val="both"/>
        <w:rPr>
          <w:rFonts w:ascii="David" w:eastAsia="Times New Roman" w:hAnsi="David" w:cs="David"/>
          <w:b/>
          <w:bCs/>
          <w:sz w:val="24"/>
          <w:szCs w:val="24"/>
          <w:u w:val="single"/>
          <w:rtl/>
          <w:lang w:val="en-US"/>
        </w:rPr>
      </w:pPr>
    </w:p>
    <w:p w14:paraId="70DEA97F" w14:textId="77777777" w:rsidR="00C21800" w:rsidRPr="000C310D" w:rsidRDefault="00C21800" w:rsidP="00C21800">
      <w:pPr>
        <w:bidi/>
        <w:spacing w:after="0" w:line="240" w:lineRule="auto"/>
        <w:jc w:val="both"/>
        <w:rPr>
          <w:rFonts w:ascii="David" w:eastAsia="Times New Roman" w:hAnsi="David" w:cs="David"/>
          <w:b/>
          <w:bCs/>
          <w:sz w:val="24"/>
          <w:szCs w:val="24"/>
          <w:u w:val="single"/>
          <w:rtl/>
          <w:lang w:val="en-US"/>
        </w:rPr>
      </w:pPr>
      <w:proofErr w:type="spellStart"/>
      <w:r>
        <w:rPr>
          <w:rFonts w:ascii="David" w:eastAsia="Times New Roman" w:hAnsi="David" w:cs="David" w:hint="cs"/>
          <w:b/>
          <w:bCs/>
          <w:sz w:val="24"/>
          <w:szCs w:val="24"/>
          <w:u w:val="single"/>
          <w:rtl/>
          <w:lang w:val="en-US"/>
        </w:rPr>
        <w:lastRenderedPageBreak/>
        <w:t>ג.</w:t>
      </w:r>
      <w:r w:rsidRPr="000C310D">
        <w:rPr>
          <w:rFonts w:ascii="David" w:eastAsia="Times New Roman" w:hAnsi="David" w:cs="David"/>
          <w:b/>
          <w:bCs/>
          <w:sz w:val="24"/>
          <w:szCs w:val="24"/>
          <w:u w:val="single"/>
          <w:rtl/>
          <w:lang w:val="en-US"/>
        </w:rPr>
        <w:t>היכן</w:t>
      </w:r>
      <w:proofErr w:type="spellEnd"/>
      <w:r w:rsidRPr="000C310D">
        <w:rPr>
          <w:rFonts w:ascii="David" w:eastAsia="Times New Roman" w:hAnsi="David" w:cs="David"/>
          <w:b/>
          <w:bCs/>
          <w:sz w:val="24"/>
          <w:szCs w:val="24"/>
          <w:u w:val="single"/>
          <w:rtl/>
          <w:lang w:val="en-US"/>
        </w:rPr>
        <w:t xml:space="preserve"> חלה חובת כיסוי הראש?</w:t>
      </w:r>
    </w:p>
    <w:p w14:paraId="29196C4B" w14:textId="77777777" w:rsidR="00C21800" w:rsidRPr="000C310D" w:rsidRDefault="00C21800" w:rsidP="00C21800">
      <w:pPr>
        <w:bidi/>
        <w:spacing w:after="0" w:line="240" w:lineRule="auto"/>
        <w:jc w:val="both"/>
        <w:rPr>
          <w:rFonts w:ascii="David" w:eastAsia="Times New Roman" w:hAnsi="David" w:cs="David"/>
          <w:sz w:val="24"/>
          <w:szCs w:val="24"/>
          <w:lang w:val="en-US"/>
        </w:rPr>
      </w:pPr>
      <w:r w:rsidRPr="000C310D">
        <w:rPr>
          <w:rFonts w:ascii="David" w:eastAsia="Times New Roman" w:hAnsi="David" w:cs="David"/>
          <w:sz w:val="24"/>
          <w:szCs w:val="24"/>
          <w:rtl/>
          <w:lang w:val="en-US"/>
        </w:rPr>
        <w:t>לכל הדעות, אישה חייבת בכיסוי ראשה ברשות הרבים.</w:t>
      </w:r>
    </w:p>
    <w:p w14:paraId="4F5C362A"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ברשות היחיד, כלומר בביתה, לפני בעלה וילדיה, הדעות חלוקות: </w:t>
      </w:r>
    </w:p>
    <w:p w14:paraId="1F96B696" w14:textId="77777777" w:rsidR="00C21800" w:rsidRPr="000C310D" w:rsidRDefault="00C21800" w:rsidP="00C21800">
      <w:pPr>
        <w:numPr>
          <w:ilvl w:val="0"/>
          <w:numId w:val="2"/>
        </w:numPr>
        <w:bidi/>
        <w:spacing w:after="0" w:line="240" w:lineRule="auto"/>
        <w:contextualSpacing/>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ע"פ </w:t>
      </w:r>
      <w:proofErr w:type="spellStart"/>
      <w:r w:rsidRPr="000C310D">
        <w:rPr>
          <w:rFonts w:ascii="David" w:eastAsia="Times New Roman" w:hAnsi="David" w:cs="David"/>
          <w:sz w:val="24"/>
          <w:szCs w:val="24"/>
          <w:rtl/>
          <w:lang w:val="en-US"/>
        </w:rPr>
        <w:t>החת"ם</w:t>
      </w:r>
      <w:proofErr w:type="spellEnd"/>
      <w:r w:rsidRPr="000C310D">
        <w:rPr>
          <w:rFonts w:ascii="David" w:eastAsia="Times New Roman" w:hAnsi="David" w:cs="David"/>
          <w:sz w:val="24"/>
          <w:szCs w:val="24"/>
          <w:rtl/>
          <w:lang w:val="en-US"/>
        </w:rPr>
        <w:t xml:space="preserve"> סופר , רמב"ם והמשנה ברורה - חייבת בכיסוי.</w:t>
      </w:r>
    </w:p>
    <w:p w14:paraId="73E75D59" w14:textId="77777777" w:rsidR="00C21800" w:rsidRPr="000C310D" w:rsidRDefault="00C21800" w:rsidP="00C21800">
      <w:pPr>
        <w:bidi/>
        <w:spacing w:after="0" w:line="240" w:lineRule="auto"/>
        <w:jc w:val="both"/>
        <w:rPr>
          <w:rFonts w:ascii="David" w:eastAsia="Times New Roman" w:hAnsi="David" w:cs="David"/>
          <w:sz w:val="24"/>
          <w:szCs w:val="24"/>
          <w:rtl/>
          <w:lang w:val="en-US"/>
        </w:rPr>
      </w:pPr>
    </w:p>
    <w:p w14:paraId="0DF51CC4" w14:textId="77777777" w:rsidR="00C21800" w:rsidRPr="000C310D" w:rsidRDefault="00C21800" w:rsidP="00C21800">
      <w:pPr>
        <w:numPr>
          <w:ilvl w:val="0"/>
          <w:numId w:val="2"/>
        </w:numPr>
        <w:bidi/>
        <w:spacing w:after="0" w:line="240" w:lineRule="auto"/>
        <w:contextualSpacing/>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ע"פ הרב </w:t>
      </w:r>
      <w:proofErr w:type="spellStart"/>
      <w:r w:rsidRPr="000C310D">
        <w:rPr>
          <w:rFonts w:ascii="David" w:eastAsia="Times New Roman" w:hAnsi="David" w:cs="David"/>
          <w:sz w:val="24"/>
          <w:szCs w:val="24"/>
          <w:rtl/>
          <w:lang w:val="en-US"/>
        </w:rPr>
        <w:t>פיינשטיין</w:t>
      </w:r>
      <w:proofErr w:type="spellEnd"/>
      <w:r w:rsidRPr="000C310D">
        <w:rPr>
          <w:rFonts w:ascii="David" w:eastAsia="Times New Roman" w:hAnsi="David" w:cs="David"/>
          <w:sz w:val="24"/>
          <w:szCs w:val="24"/>
          <w:rtl/>
          <w:lang w:val="en-US"/>
        </w:rPr>
        <w:t xml:space="preserve"> והרב עובדיה יוסף- פטורה ממנו.</w:t>
      </w:r>
    </w:p>
    <w:p w14:paraId="0F5D4161"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b/>
          <w:bCs/>
          <w:sz w:val="24"/>
          <w:szCs w:val="24"/>
          <w:u w:val="single"/>
          <w:rtl/>
          <w:lang w:val="en-US"/>
        </w:rPr>
        <w:t>לכל  הדעות</w:t>
      </w:r>
      <w:r w:rsidRPr="000C310D">
        <w:rPr>
          <w:rFonts w:ascii="David" w:eastAsia="Times New Roman" w:hAnsi="David" w:cs="David"/>
          <w:sz w:val="24"/>
          <w:szCs w:val="24"/>
          <w:rtl/>
          <w:lang w:val="en-US"/>
        </w:rPr>
        <w:t xml:space="preserve">: כאשר מגיעים אורחים וכד' לבית, היא </w:t>
      </w:r>
      <w:proofErr w:type="spellStart"/>
      <w:r w:rsidRPr="000C310D">
        <w:rPr>
          <w:rFonts w:ascii="David" w:eastAsia="Times New Roman" w:hAnsi="David" w:cs="David"/>
          <w:sz w:val="24"/>
          <w:szCs w:val="24"/>
          <w:rtl/>
          <w:lang w:val="en-US"/>
        </w:rPr>
        <w:t>מחוייבת</w:t>
      </w:r>
      <w:proofErr w:type="spellEnd"/>
      <w:r w:rsidRPr="000C310D">
        <w:rPr>
          <w:rFonts w:ascii="David" w:eastAsia="Times New Roman" w:hAnsi="David" w:cs="David"/>
          <w:sz w:val="24"/>
          <w:szCs w:val="24"/>
          <w:rtl/>
          <w:lang w:val="en-US"/>
        </w:rPr>
        <w:t xml:space="preserve"> בכיסוי ראש בפניהם על אף שמדובר ברשות היחיד.</w:t>
      </w:r>
    </w:p>
    <w:p w14:paraId="07A1E63B" w14:textId="77777777" w:rsidR="00C21800" w:rsidRPr="000C310D" w:rsidRDefault="00C21800" w:rsidP="00C21800">
      <w:pPr>
        <w:bidi/>
        <w:spacing w:after="0" w:line="240" w:lineRule="auto"/>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כאשר הולכת לישון פטורה מכיסוי לכל הדעות </w:t>
      </w:r>
    </w:p>
    <w:p w14:paraId="690A1D8D" w14:textId="77777777" w:rsidR="00C21800" w:rsidRPr="000C310D" w:rsidRDefault="00C21800" w:rsidP="00C21800">
      <w:pPr>
        <w:numPr>
          <w:ilvl w:val="0"/>
          <w:numId w:val="1"/>
        </w:numPr>
        <w:bidi/>
        <w:spacing w:after="0" w:line="240" w:lineRule="auto"/>
        <w:contextualSpacing/>
        <w:jc w:val="both"/>
        <w:rPr>
          <w:rFonts w:ascii="David" w:eastAsia="Times New Roman" w:hAnsi="David" w:cs="David"/>
          <w:sz w:val="24"/>
          <w:szCs w:val="24"/>
          <w:rtl/>
          <w:lang w:val="en-US"/>
        </w:rPr>
      </w:pPr>
      <w:r w:rsidRPr="000C310D">
        <w:rPr>
          <w:rFonts w:ascii="David" w:eastAsia="Times New Roman" w:hAnsi="David" w:cs="David"/>
          <w:sz w:val="24"/>
          <w:szCs w:val="24"/>
          <w:rtl/>
          <w:lang w:val="en-US"/>
        </w:rPr>
        <w:t xml:space="preserve">בגמרא מוזכר סיפורה של הקמחית, אישה שזכתה לשבעה בנים כהנים גדולים וייחסה זאת לעובדה שהקפידה באופן מיוחד על כיסוי ראש גם בתוך ביתה. </w:t>
      </w:r>
    </w:p>
    <w:p w14:paraId="441CAC4C" w14:textId="77777777" w:rsidR="00C21800" w:rsidRPr="000C310D" w:rsidRDefault="00C21800" w:rsidP="00C21800">
      <w:pPr>
        <w:numPr>
          <w:ilvl w:val="0"/>
          <w:numId w:val="1"/>
        </w:numPr>
        <w:bidi/>
        <w:spacing w:after="0" w:line="240" w:lineRule="auto"/>
        <w:contextualSpacing/>
        <w:jc w:val="both"/>
        <w:rPr>
          <w:rFonts w:ascii="David" w:eastAsia="Times New Roman" w:hAnsi="David" w:cs="David"/>
          <w:sz w:val="24"/>
          <w:szCs w:val="24"/>
          <w:lang w:val="en-US"/>
        </w:rPr>
      </w:pPr>
      <w:r w:rsidRPr="000C310D">
        <w:rPr>
          <w:rFonts w:ascii="David" w:eastAsia="Times New Roman" w:hAnsi="David" w:cs="David"/>
          <w:sz w:val="24"/>
          <w:szCs w:val="24"/>
          <w:rtl/>
          <w:lang w:val="en-US"/>
        </w:rPr>
        <w:t xml:space="preserve">על אף סיפור זה, ברור מדברי חכמים שאין זו דרך לרבים וכי מדובר במנהג חסידות, כלומר מנהג שנוהגים אותו יחידי סגולה שקיבלו אותו על עצמם ואין הוא דין מחייב לרבים. </w:t>
      </w:r>
    </w:p>
    <w:p w14:paraId="083ED89D" w14:textId="77777777" w:rsidR="002009A5" w:rsidRPr="00C21800" w:rsidRDefault="002009A5" w:rsidP="00C21800">
      <w:pPr>
        <w:jc w:val="right"/>
        <w:rPr>
          <w:lang w:val="en-US"/>
        </w:rPr>
      </w:pPr>
    </w:p>
    <w:sectPr w:rsidR="002009A5" w:rsidRPr="00C2180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A77C" w14:textId="77777777" w:rsidR="009F1482" w:rsidRDefault="009F1482" w:rsidP="00C21800">
      <w:pPr>
        <w:spacing w:after="0" w:line="240" w:lineRule="auto"/>
      </w:pPr>
      <w:r>
        <w:separator/>
      </w:r>
    </w:p>
  </w:endnote>
  <w:endnote w:type="continuationSeparator" w:id="0">
    <w:p w14:paraId="66163E13" w14:textId="77777777" w:rsidR="009F1482" w:rsidRDefault="009F1482" w:rsidP="00C2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551881"/>
      <w:docPartObj>
        <w:docPartGallery w:val="Page Numbers (Bottom of Page)"/>
        <w:docPartUnique/>
      </w:docPartObj>
    </w:sdtPr>
    <w:sdtContent>
      <w:p w14:paraId="13E939D8" w14:textId="7B331ADE" w:rsidR="00C21800" w:rsidRDefault="00C21800">
        <w:pPr>
          <w:pStyle w:val="a5"/>
          <w:jc w:val="center"/>
        </w:pPr>
        <w:r>
          <w:fldChar w:fldCharType="begin"/>
        </w:r>
        <w:r>
          <w:instrText>PAGE   \* MERGEFORMAT</w:instrText>
        </w:r>
        <w:r>
          <w:fldChar w:fldCharType="separate"/>
        </w:r>
        <w:r>
          <w:rPr>
            <w:rtl/>
            <w:lang w:val="he-IL"/>
          </w:rPr>
          <w:t>2</w:t>
        </w:r>
        <w:r>
          <w:fldChar w:fldCharType="end"/>
        </w:r>
      </w:p>
    </w:sdtContent>
  </w:sdt>
  <w:p w14:paraId="304FED62" w14:textId="77777777" w:rsidR="00C21800" w:rsidRDefault="00C218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8FF4" w14:textId="77777777" w:rsidR="009F1482" w:rsidRDefault="009F1482" w:rsidP="00C21800">
      <w:pPr>
        <w:spacing w:after="0" w:line="240" w:lineRule="auto"/>
      </w:pPr>
      <w:r>
        <w:separator/>
      </w:r>
    </w:p>
  </w:footnote>
  <w:footnote w:type="continuationSeparator" w:id="0">
    <w:p w14:paraId="657DD9F8" w14:textId="77777777" w:rsidR="009F1482" w:rsidRDefault="009F1482" w:rsidP="00C21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767ED"/>
    <w:multiLevelType w:val="hybridMultilevel"/>
    <w:tmpl w:val="B53C7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22B58"/>
    <w:multiLevelType w:val="hybridMultilevel"/>
    <w:tmpl w:val="DF58BF5E"/>
    <w:lvl w:ilvl="0" w:tplc="29D4F6D4">
      <w:start w:val="2"/>
      <w:numFmt w:val="bullet"/>
      <w:lvlText w:val=""/>
      <w:lvlJc w:val="left"/>
      <w:pPr>
        <w:ind w:left="720" w:hanging="360"/>
      </w:pPr>
      <w:rPr>
        <w:rFonts w:ascii="Symbol" w:eastAsia="Times New Roman" w:hAnsi="Symbol" w:cs="Guttman Yad-B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539298">
    <w:abstractNumId w:val="1"/>
  </w:num>
  <w:num w:numId="2" w16cid:durableId="23698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00"/>
    <w:rsid w:val="002009A5"/>
    <w:rsid w:val="009F1482"/>
    <w:rsid w:val="00C2180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7BA3"/>
  <w15:chartTrackingRefBased/>
  <w15:docId w15:val="{5CB4EC66-1375-4BE5-8729-C521A8C6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8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800"/>
    <w:pPr>
      <w:tabs>
        <w:tab w:val="center" w:pos="4153"/>
        <w:tab w:val="right" w:pos="8306"/>
      </w:tabs>
      <w:spacing w:after="0" w:line="240" w:lineRule="auto"/>
    </w:pPr>
  </w:style>
  <w:style w:type="character" w:customStyle="1" w:styleId="a4">
    <w:name w:val="כותרת עליונה תו"/>
    <w:basedOn w:val="a0"/>
    <w:link w:val="a3"/>
    <w:uiPriority w:val="99"/>
    <w:rsid w:val="00C21800"/>
  </w:style>
  <w:style w:type="paragraph" w:styleId="a5">
    <w:name w:val="footer"/>
    <w:basedOn w:val="a"/>
    <w:link w:val="a6"/>
    <w:uiPriority w:val="99"/>
    <w:unhideWhenUsed/>
    <w:rsid w:val="00C21800"/>
    <w:pPr>
      <w:tabs>
        <w:tab w:val="center" w:pos="4153"/>
        <w:tab w:val="right" w:pos="8306"/>
      </w:tabs>
      <w:spacing w:after="0" w:line="240" w:lineRule="auto"/>
    </w:pPr>
  </w:style>
  <w:style w:type="character" w:customStyle="1" w:styleId="a6">
    <w:name w:val="כותרת תחתונה תו"/>
    <w:basedOn w:val="a0"/>
    <w:link w:val="a5"/>
    <w:uiPriority w:val="99"/>
    <w:rsid w:val="00C2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2836</Characters>
  <Application>Microsoft Office Word</Application>
  <DocSecurity>0</DocSecurity>
  <Lines>23</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1</cp:revision>
  <dcterms:created xsi:type="dcterms:W3CDTF">2022-04-26T01:58:00Z</dcterms:created>
  <dcterms:modified xsi:type="dcterms:W3CDTF">2022-04-26T01:59:00Z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a81dea-4d6c-46c2-b66b-652ec1fb581d_Enabled">
    <vt:lpwstr>true</vt:lpwstr>
  </property>
  <property fmtid="{D5CDD505-2E9C-101B-9397-08002B2CF9AE}" pid="3" name="MSIP_Label_00a81dea-4d6c-46c2-b66b-652ec1fb581d_SetDate">
    <vt:lpwstr>2022-04-26T01:58:28Z</vt:lpwstr>
  </property>
  <property fmtid="{D5CDD505-2E9C-101B-9397-08002B2CF9AE}" pid="4" name="MSIP_Label_00a81dea-4d6c-46c2-b66b-652ec1fb581d_Method">
    <vt:lpwstr>Standard</vt:lpwstr>
  </property>
  <property fmtid="{D5CDD505-2E9C-101B-9397-08002B2CF9AE}" pid="5" name="MSIP_Label_00a81dea-4d6c-46c2-b66b-652ec1fb581d_Name">
    <vt:lpwstr>הצפנת קבצים והודעות דואר אלקטרוני</vt:lpwstr>
  </property>
  <property fmtid="{D5CDD505-2E9C-101B-9397-08002B2CF9AE}" pid="6" name="MSIP_Label_00a81dea-4d6c-46c2-b66b-652ec1fb581d_SiteId">
    <vt:lpwstr>d84846a7-3371-4e86-afe6-dc8d9d7a3299</vt:lpwstr>
  </property>
  <property fmtid="{D5CDD505-2E9C-101B-9397-08002B2CF9AE}" pid="7" name="MSIP_Label_00a81dea-4d6c-46c2-b66b-652ec1fb581d_ActionId">
    <vt:lpwstr>23e165f4-7d80-4f7e-b019-7c5806707d5e</vt:lpwstr>
  </property>
  <property fmtid="{D5CDD505-2E9C-101B-9397-08002B2CF9AE}" pid="8" name="MSIP_Label_00a81dea-4d6c-46c2-b66b-652ec1fb581d_ContentBits">
    <vt:lpwstr>0</vt:lpwstr>
  </property>
</Properties>
</file>